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4C6290" w:rsidP="004C6290">
      <w:pPr>
        <w:spacing w:line="480" w:lineRule="auto"/>
        <w:rPr>
          <w:rFonts w:ascii="Times New Roman" w:hAnsi="Times New Roman" w:cs="Times New Roman"/>
          <w:sz w:val="24"/>
          <w:szCs w:val="24"/>
        </w:rPr>
      </w:pPr>
      <w:r>
        <w:rPr>
          <w:rFonts w:ascii="Times New Roman" w:hAnsi="Times New Roman" w:cs="Times New Roman"/>
          <w:sz w:val="24"/>
          <w:szCs w:val="24"/>
        </w:rPr>
        <w:t>Julia Moura</w:t>
      </w:r>
    </w:p>
    <w:p w:rsidR="004C6290" w:rsidRDefault="004C6290" w:rsidP="004C6290">
      <w:pPr>
        <w:spacing w:line="480" w:lineRule="auto"/>
        <w:rPr>
          <w:rFonts w:ascii="Times New Roman" w:hAnsi="Times New Roman" w:cs="Times New Roman"/>
          <w:sz w:val="24"/>
          <w:szCs w:val="24"/>
        </w:rPr>
      </w:pPr>
      <w:r>
        <w:rPr>
          <w:rFonts w:ascii="Times New Roman" w:hAnsi="Times New Roman" w:cs="Times New Roman"/>
          <w:sz w:val="24"/>
          <w:szCs w:val="24"/>
        </w:rPr>
        <w:t>Prof. Jesse Miller</w:t>
      </w:r>
    </w:p>
    <w:p w:rsidR="004C6290" w:rsidRDefault="004C6290" w:rsidP="004C6290">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4C6290" w:rsidRDefault="004C6290" w:rsidP="004C6290">
      <w:pPr>
        <w:spacing w:line="480" w:lineRule="auto"/>
        <w:rPr>
          <w:rFonts w:ascii="Times New Roman" w:hAnsi="Times New Roman" w:cs="Times New Roman"/>
          <w:sz w:val="24"/>
          <w:szCs w:val="24"/>
        </w:rPr>
      </w:pPr>
      <w:r>
        <w:rPr>
          <w:rFonts w:ascii="Times New Roman" w:hAnsi="Times New Roman" w:cs="Times New Roman"/>
          <w:sz w:val="24"/>
          <w:szCs w:val="24"/>
        </w:rPr>
        <w:t>1 April 2019</w:t>
      </w:r>
    </w:p>
    <w:p w:rsidR="004C6290" w:rsidRDefault="004C6290" w:rsidP="004C6290">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#16</w:t>
      </w:r>
    </w:p>
    <w:p w:rsidR="004C6290" w:rsidRPr="004C6290" w:rsidRDefault="004C6290" w:rsidP="004C62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my previous journal entry on “Consider the Lobster”, I find that most of my ideas from the past are very similar to my ideas on it now. I find that now that we have focused on more articles though, with ideas to compare it to my eyes have been opened to the opportunity to look deeper into some of the issues that I almost rolled right over last time. This being the lobster having an emotional standpoint. We sometimes become very close with many different mammals and creatures, so why are some of these creatures okay for us to eat while others we find we must only keep as pets. What makes some animals more special to us than others? For instance, why will we do everything, at all costs to protect a dog but easily kill a lobster for food? I think it is because we find ourselves getting emotional and attached to the </w:t>
      </w:r>
      <w:proofErr w:type="gramStart"/>
      <w:r>
        <w:rPr>
          <w:rFonts w:ascii="Times New Roman" w:hAnsi="Times New Roman" w:cs="Times New Roman"/>
          <w:sz w:val="24"/>
          <w:szCs w:val="24"/>
        </w:rPr>
        <w:t>dogs</w:t>
      </w:r>
      <w:proofErr w:type="gramEnd"/>
      <w:r>
        <w:rPr>
          <w:rFonts w:ascii="Times New Roman" w:hAnsi="Times New Roman" w:cs="Times New Roman"/>
          <w:sz w:val="24"/>
          <w:szCs w:val="24"/>
        </w:rPr>
        <w:t xml:space="preserve"> loyalty and cuteness where as the lobster we don’t gravitate towards as seeing cute. Also, I began to question methods of death. Is boiling the lobster really the best method of killing? Why would we celebrate a funeral for humans but simply throw away numerous amounts of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bodies without a second thought? When going back through it, all of these questions and more began circling in my mind and I realize they will probably never be answered. </w:t>
      </w:r>
      <w:bookmarkStart w:id="0" w:name="_GoBack"/>
      <w:bookmarkEnd w:id="0"/>
    </w:p>
    <w:sectPr w:rsidR="004C6290" w:rsidRPr="004C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90"/>
    <w:rsid w:val="004C6290"/>
    <w:rsid w:val="005247EF"/>
    <w:rsid w:val="0072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8A5"/>
  <w15:chartTrackingRefBased/>
  <w15:docId w15:val="{E7A41527-5B59-4608-88AC-492CDA89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2019-04-01T00:04:00Z</dcterms:created>
  <dcterms:modified xsi:type="dcterms:W3CDTF">2019-04-01T00:11:00Z</dcterms:modified>
</cp:coreProperties>
</file>